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/>
        <w:jc w:val="left"/>
        <w:textAlignment w:val="auto"/>
        <w:outlineLvl w:val="9"/>
        <w:rPr>
          <w:rFonts w:hint="eastAsia" w:asciiTheme="majorEastAsia" w:hAnsiTheme="majorEastAsia" w:eastAsiaTheme="majorEastAsia" w:cstheme="majorEastAsia"/>
          <w:color w:val="333333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333333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Theme="majorEastAsia" w:hAnsiTheme="majorEastAsia" w:eastAsiaTheme="majorEastAsia" w:cstheme="majorEastAsia"/>
          <w:color w:val="333333"/>
          <w:sz w:val="32"/>
          <w:szCs w:val="32"/>
          <w:shd w:val="clear" w:color="auto" w:fill="FFFFFF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80" w:right="0" w:rightChars="0" w:hanging="88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color w:val="151515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部分</w:t>
      </w:r>
      <w:r>
        <w:rPr>
          <w:rFonts w:hint="eastAsia" w:ascii="方正小标宋_GBK" w:hAnsi="方正小标宋_GBK" w:eastAsia="方正小标宋_GBK" w:cs="方正小标宋_GBK"/>
          <w:color w:val="151515"/>
          <w:kern w:val="0"/>
          <w:sz w:val="44"/>
          <w:szCs w:val="44"/>
          <w:lang w:val="en-US" w:eastAsia="zh-CN"/>
        </w:rPr>
        <w:t>公路监理公司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880" w:right="0" w:rightChars="0" w:hanging="880" w:hangingChars="20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2017年度全国综合信用评价调整结果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tbl>
      <w:tblPr>
        <w:tblStyle w:val="4"/>
        <w:tblW w:w="94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530"/>
        <w:gridCol w:w="2257"/>
        <w:gridCol w:w="45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名称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原公告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信用评价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结果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调整后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（补充发布）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信用评价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结果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调整原因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7" w:hRule="atLeast"/>
        </w:trPr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陕西建通公路工程技术咨询有限公司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94.9分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A级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89分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A级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因企业在甘肃G569线北山至仙米寺公路项目中存在“未按投标承诺的条件配备总监、副总监、驻地监理、总监代表”（失信行为代码JJX101026）、“派驻到工程建设项目上的总监、副总监、驻地监理、总监代表未在中标监理企业从业登记”（失信行为代码JJX101027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和“未经业主许可调换总监、副总监、驻地监理、总监代表”（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失信行为代码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JJX101029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失信行为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（共计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），被甘肃省交通运输厅在企业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2017年度省级综合信用评价结果中补充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安徽</w:t>
            </w:r>
            <w:r>
              <w:rPr>
                <w:rFonts w:hint="eastAsia" w:ascii="仿宋_GB2312" w:hAnsi="仿宋_GB2312" w:eastAsia="仿宋_GB2312" w:cs="仿宋_GB2312"/>
                <w:color w:val="151515"/>
                <w:kern w:val="0"/>
                <w:sz w:val="32"/>
                <w:szCs w:val="32"/>
                <w:lang w:val="en-US" w:eastAsia="zh-CN"/>
              </w:rPr>
              <w:t>高等级公路监理公司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91.7分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A级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90.29分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A级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因企业在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汕(头)湛(江)高速公路云浮至湛江段及支线工程（化湛段）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项目中存在“未按投标承诺的条件配备总监、副总监、驻地监理、总监代表”（失信行为代码JJX101026）、“派驻到工程建设项目上的总监、副总监、驻地监理、总监代表未在中标监理企业从业登记”（失信行为代码JJX101027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和“未经业主许可调换总监、副总监、驻地监理、总监代表”（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失信行为代码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JJX101029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项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失信行为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（共计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15分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），被广东省交通运输厅在企业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2017年度省级综合信用评价结果中补充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扣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陕西利民公路工程咨询股份有限公司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未公告</w:t>
            </w:r>
          </w:p>
        </w:tc>
        <w:tc>
          <w:tcPr>
            <w:tcW w:w="225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79.2分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333333"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B级</w:t>
            </w:r>
          </w:p>
        </w:tc>
        <w:tc>
          <w:tcPr>
            <w:tcW w:w="4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2"/>
                <w:szCs w:val="32"/>
                <w:lang w:val="en-US" w:eastAsia="zh-CN"/>
              </w:rPr>
              <w:t>参评省份总数：2个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right="0" w:rightChars="0" w:firstLine="640" w:firstLineChars="200"/>
        <w:jc w:val="left"/>
        <w:textAlignment w:val="auto"/>
        <w:outlineLvl w:val="9"/>
        <w:rPr>
          <w:rFonts w:hint="eastAsia" w:ascii="黑体" w:hAnsi="黑体" w:eastAsia="黑体" w:cs="黑体"/>
          <w:color w:val="333333"/>
          <w:sz w:val="32"/>
          <w:szCs w:val="32"/>
          <w:shd w:val="clear" w:color="auto" w:fill="FFFFFF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961ED4"/>
    <w:rsid w:val="3D96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2019-02-21T00:40:00Z</dcterms:created>
  <dc:creator>心态决定状态</dc:creator>
  <cp:lastModifiedBy>心态决定状态</cp:lastModifiedBy>
  <dcterms:modified xsi:type="dcterms:W3CDTF">2019-02-21T00:40:56Z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